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8A" w:rsidRPr="00EA1E8A" w:rsidRDefault="00EA1E8A" w:rsidP="00EA1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E8A" w:rsidRPr="00EA1E8A" w:rsidRDefault="00EA1E8A" w:rsidP="00EA1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E8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EA1E8A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EA1E8A">
        <w:rPr>
          <w:rFonts w:ascii="Times New Roman" w:hAnsi="Times New Roman" w:cs="Times New Roman"/>
          <w:b/>
          <w:sz w:val="28"/>
          <w:szCs w:val="28"/>
        </w:rPr>
        <w:t xml:space="preserve"> программы района</w:t>
      </w:r>
    </w:p>
    <w:p w:rsidR="00EA1E8A" w:rsidRPr="00EA1E8A" w:rsidRDefault="00EA1E8A" w:rsidP="00EA1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1E8A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в сфере муниципальных финансов </w:t>
      </w:r>
    </w:p>
    <w:p w:rsidR="00EA1E8A" w:rsidRPr="00EA1E8A" w:rsidRDefault="00EA1E8A" w:rsidP="00EA1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A1E8A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EA1E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A1E8A">
        <w:rPr>
          <w:rFonts w:ascii="Times New Roman" w:hAnsi="Times New Roman" w:cs="Times New Roman"/>
          <w:b/>
          <w:bCs/>
          <w:sz w:val="28"/>
          <w:szCs w:val="28"/>
        </w:rPr>
        <w:t>Нижневартовском</w:t>
      </w:r>
      <w:proofErr w:type="gramEnd"/>
      <w:r w:rsidRPr="00EA1E8A">
        <w:rPr>
          <w:rFonts w:ascii="Times New Roman" w:hAnsi="Times New Roman" w:cs="Times New Roman"/>
          <w:b/>
          <w:bCs/>
          <w:sz w:val="28"/>
          <w:szCs w:val="28"/>
        </w:rPr>
        <w:t xml:space="preserve"> районе на 2015–2020 годы»</w:t>
      </w:r>
    </w:p>
    <w:p w:rsidR="00EA1E8A" w:rsidRPr="00EA1E8A" w:rsidRDefault="00EA1E8A" w:rsidP="00EA1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1E8A">
        <w:rPr>
          <w:rFonts w:ascii="Times New Roman" w:hAnsi="Times New Roman" w:cs="Times New Roman"/>
          <w:bCs/>
          <w:sz w:val="28"/>
          <w:szCs w:val="28"/>
        </w:rPr>
        <w:t>(далее – муниципальная программа)</w:t>
      </w:r>
    </w:p>
    <w:p w:rsidR="00EA1E8A" w:rsidRPr="00EA1E8A" w:rsidRDefault="00EA1E8A" w:rsidP="00EA1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/>
      </w:tblPr>
      <w:tblGrid>
        <w:gridCol w:w="3686"/>
        <w:gridCol w:w="6203"/>
      </w:tblGrid>
      <w:tr w:rsidR="00EA1E8A" w:rsidRPr="00EA1E8A" w:rsidTr="00E202B9">
        <w:trPr>
          <w:trHeight w:val="970"/>
        </w:trPr>
        <w:tc>
          <w:tcPr>
            <w:tcW w:w="3686" w:type="dxa"/>
            <w:hideMark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proofErr w:type="gramEnd"/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в сфере муниципальных финансов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2015−2020 годы»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8A" w:rsidRPr="00EA1E8A" w:rsidTr="00E202B9">
        <w:tc>
          <w:tcPr>
            <w:tcW w:w="3686" w:type="dxa"/>
            <w:hideMark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департамент финансов администрации района</w:t>
            </w:r>
          </w:p>
        </w:tc>
      </w:tr>
      <w:tr w:rsidR="00EA1E8A" w:rsidRPr="00EA1E8A" w:rsidTr="00E202B9">
        <w:tc>
          <w:tcPr>
            <w:tcW w:w="3686" w:type="dxa"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средств бюджета района, структурные подразделения администрации района, муниципальные учреждения района</w:t>
            </w:r>
          </w:p>
          <w:p w:rsidR="00EA1E8A" w:rsidRPr="00EA1E8A" w:rsidRDefault="00EA1E8A" w:rsidP="00EA1E8A">
            <w:pPr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8A" w:rsidRPr="00EA1E8A" w:rsidTr="00E202B9">
        <w:tc>
          <w:tcPr>
            <w:tcW w:w="3686" w:type="dxa"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1.Обеспечение эффективной финансовой поддержки городских и сельских поселений района.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2. Обеспечение долгосрочной сбалансированности и устойчивости бюджета Нижневартовского района, повышение качества управления муниципальными финансами района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8A" w:rsidRPr="00EA1E8A" w:rsidTr="00E202B9">
        <w:tc>
          <w:tcPr>
            <w:tcW w:w="3686" w:type="dxa"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1.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2. Достижение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долгосрочного устойчивого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и экономически обоснованного соответствия расходных обязательств бюджета района источникам их финансового обеспечения, обеспечение условий для регулирования бюджетного процесса в районе и его совершенствование 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E8A" w:rsidRPr="00EA1E8A" w:rsidRDefault="00EA1E8A" w:rsidP="00EA1E8A">
            <w:pPr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8A" w:rsidRPr="00EA1E8A" w:rsidTr="00E202B9">
        <w:tc>
          <w:tcPr>
            <w:tcW w:w="3686" w:type="dxa"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Подпрограммы или основные мероприятия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I. «Создание условий для эффективного управления муниципальными финансами, повышения устойчивости </w:t>
            </w:r>
            <w:r w:rsidRPr="00EA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поселений Нижневартовского района»;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EA1E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. «Управление муниципальными финансами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8A" w:rsidRPr="00EA1E8A" w:rsidTr="00E202B9">
        <w:tc>
          <w:tcPr>
            <w:tcW w:w="3686" w:type="dxa"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результатов)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1. Наличие нормативных правовых актов района об утверждении порядка предоставления бюджетам поселений района: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дотаций на поддержку мер по обеспечению сбалансированности местных бюджетов (да/нет; 1/0);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иных межбюджетных трансфертов из муниципального дорожного фонда Нижневартовского района (да/нет; 1/0);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дотаций, выделяемых на поощрение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достижения высоких показателей качества организации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и осуществления бюджетного процесса в поселениях района </w:t>
            </w: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(да/нет; 1/0).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2. Количество поселений района, оценка качества организации и осуществления бюджетного процесса которых выше среднего показателя, сложившегося по поселениям района, с 3 до 4.</w:t>
            </w:r>
          </w:p>
          <w:p w:rsidR="00EA1E8A" w:rsidRPr="00EA1E8A" w:rsidRDefault="00EA1E8A" w:rsidP="00EA1E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3. Размещение в сети Интернет расчетов по распределению:</w:t>
            </w:r>
          </w:p>
          <w:p w:rsidR="00EA1E8A" w:rsidRPr="00EA1E8A" w:rsidRDefault="00EA1E8A" w:rsidP="00EA1E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дотаций на выравнивание бюджетной обеспеченности поселений района (да/нет; 1/0);</w:t>
            </w:r>
          </w:p>
          <w:p w:rsidR="00EA1E8A" w:rsidRPr="00EA1E8A" w:rsidRDefault="00EA1E8A" w:rsidP="00EA1E8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дотаций на поддержку мер по обеспечению сбалансированности бюджетов поселений района (да/нет; 1/0);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иных межбюджетных трансфертов из муниципального дорожного фонда Нижневартовского района (да/нет; 1/0).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4. Размещение в сети Интернет результатов мониторинга и оценки качества организации и осуществления бюджетного процесса в поселениях района, их рейтинга и распределение по ним дотаций (да/нет; 1/0).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5. Своевременность перечисления межбюджетных трансфертов (включая субвенции, субсидии, иные межбюджетные трансферты из вышестоящих бюджетов) поселениям района (да/нет; 1/0).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6. Отсутствие просроченной кредиторской задолженности в бюджетах поселений района по выплате заработной платы и оплате коммунальных услуг (да/нет; 1/0).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7. Снижение процента отклонения фактического объема налоговых и неналоговых доходов бюджета района за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отчетный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год от первоначально утвержденного плана с 30% до 23%.</w:t>
            </w:r>
          </w:p>
          <w:p w:rsidR="00EA1E8A" w:rsidRPr="00EA1E8A" w:rsidRDefault="00EA1E8A" w:rsidP="00EA1E8A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8. Увеличение доли расходов бюджета района, формируемых в рамках муниципальных программ в общем объеме расходов бюджета района (за исключением расходов, осуществляемых за счет субсидий, предоставляемых в рамках государственных программ автономного округа и субвенций, предоставляемых из бюджета автономного округа), − с 52% до70%.</w:t>
            </w:r>
          </w:p>
          <w:p w:rsidR="00EA1E8A" w:rsidRPr="00EA1E8A" w:rsidRDefault="00EA1E8A" w:rsidP="00EA1E8A">
            <w:pPr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9. Наличие результатов контроля учредителями муниципальных учреждений за исполнением муниципальных заданий на предоставление муниципальных услуг (выполнение работ) юридическим и физическим лицам, − 100%.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10.Сохранение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доли главных распорядителей средств бюджета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района и муниципальных образований района, представивших отчетность в сроки, установленные департаментом финансов администрации района, на уровне 100%.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11. Увеличение количества главных администраторов бюджетных средств, главных распорядителей средств бюджета района, имеющих оценку качества финансового менеджмента выше среднего уровня, с 5 до 9.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12. Формирование резервного фонда администрации района не более 3% от общего объема расходов бюджета района.</w:t>
            </w:r>
          </w:p>
          <w:p w:rsidR="00EA1E8A" w:rsidRPr="00EA1E8A" w:rsidRDefault="00EA1E8A" w:rsidP="00EA1E8A">
            <w:pPr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условно утвержденных  расходов на первый год планового периода              в объеме не менее 2,5% от общего объема расходов бюджета района (без учета расходов бюджета, предусмотренных за счет межбюджетных трансфертов из других бюджетов бюджетной системы Российской </w:t>
            </w:r>
            <w:r w:rsidRPr="00EA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Федерации, имеющих целевое назначение), на второй год планового периода не менее 5% от общего объема расходов бюджета района (без учета расходов бюджета, предусмотренных за счет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межбюджетных трансфертов из других бюджетов бюджетной системы Российской Федерации, имеющих целевое назначение).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14. Соблюдение предельного объема муниципального внутреннего долга района, установленного нормативными правовыми актами района.</w:t>
            </w:r>
          </w:p>
          <w:p w:rsidR="00EA1E8A" w:rsidRPr="00EA1E8A" w:rsidRDefault="00EA1E8A" w:rsidP="00EA1E8A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15. Процент исполнения бюджетных мер принуждения к нарушителям бюджетного законодательства Российской Федерации, иных нормативных правовых актов, регулирующих бюджетные правоотношения, не ниже − 100%.</w:t>
            </w:r>
          </w:p>
          <w:p w:rsidR="00EA1E8A" w:rsidRPr="00EA1E8A" w:rsidRDefault="00EA1E8A" w:rsidP="00EA1E8A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16. Размещение в сети Интернет (на официальном сайте администрации района) информации и муниципальных правовых актов, регулирующих бюджетный процесс в районе.</w:t>
            </w:r>
          </w:p>
          <w:p w:rsidR="00EA1E8A" w:rsidRPr="00EA1E8A" w:rsidRDefault="00EA1E8A" w:rsidP="00EA1E8A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17. Увеличение числа лиц, охваченных мероприятиями, направленными на повышение финансовой грамотности населения,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районе со 150 человек до 1 889 человек.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8A" w:rsidRPr="00EA1E8A" w:rsidTr="00E202B9">
        <w:tc>
          <w:tcPr>
            <w:tcW w:w="3686" w:type="dxa"/>
            <w:hideMark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2015−2020 годы</w:t>
            </w:r>
          </w:p>
        </w:tc>
      </w:tr>
      <w:tr w:rsidR="00EA1E8A" w:rsidRPr="00EA1E8A" w:rsidTr="00E202B9">
        <w:tc>
          <w:tcPr>
            <w:tcW w:w="3686" w:type="dxa"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                           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– 4</w:t>
            </w:r>
            <w:r w:rsidR="001762E7">
              <w:rPr>
                <w:rFonts w:ascii="Times New Roman" w:hAnsi="Times New Roman" w:cs="Times New Roman"/>
                <w:sz w:val="28"/>
                <w:szCs w:val="28"/>
              </w:rPr>
              <w:t> 116 559</w:t>
            </w: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федеральный бюджет– 26 263,5 тыс. рублей, из них: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2015 год – 4 533,3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2016 год – 3 888,0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2017 год – 4 160,6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2018 год – 4 160,6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2019 год – 4 160,6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2020 год – 5 360,4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бюджет автономного округа –  977 766,6 тыс. рублей, из них: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2015 год – 130 730,7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163 320,7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2017 год – 179 926,4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2018 год – 168 841,6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2019 год – 162 129,6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2020 год – 172 817,6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бюджет района – 3 112 528,9 тыс. рублей, из них: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2015 год – 788 006,4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2016 год – 797 524,6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2017 год – 342 949,4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2018 год – 368 320,3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2019 год – 396 368,9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2020 год – 419 359,2 тыс. рублей;</w:t>
            </w:r>
          </w:p>
          <w:p w:rsidR="00EA1E8A" w:rsidRPr="00EA1E8A" w:rsidRDefault="00EA1E8A" w:rsidP="00EA1E8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в том числе безвозмездные поступления – 728,4 тыс. рублей – 2015 год.</w:t>
            </w:r>
          </w:p>
          <w:p w:rsidR="00EA1E8A" w:rsidRPr="00EA1E8A" w:rsidRDefault="00EA1E8A" w:rsidP="00EA1E8A">
            <w:pPr>
              <w:spacing w:after="0" w:line="240" w:lineRule="auto"/>
              <w:ind w:left="317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E8A" w:rsidRPr="00EA1E8A" w:rsidTr="00E202B9">
        <w:tc>
          <w:tcPr>
            <w:tcW w:w="3686" w:type="dxa"/>
          </w:tcPr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  <w:p w:rsidR="00EA1E8A" w:rsidRPr="00EA1E8A" w:rsidRDefault="00EA1E8A" w:rsidP="00EA1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1. Обеспечение прозрачности и объективности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процедуры выравнивания бюджетной обеспеченности поселений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основе единых методик (да/нет; 1/0).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2. Отсутствие просроченной задолженности по выплате заработной платы и оплате коммунальных услуг (да/нет; 1/0).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3. Установление средней итоговой оценки качества организации и осуществления бюджетного процесса в поселениях района на уровне не менее 28 баллов.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4. Обеспечение своевременного перечисления финансовой помощи поселениям района (да/нет; 1/0).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5. Увеличение доли расходов бюджетов муниципальных образований, формируемых в рамках муниципальных программ.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6. Качественное формирование проекта решения Думы района о бюджете на очередной финансовый год и плановый период и об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отчете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района в соответствии с требованиями бюджетного законодательства, − 100%.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7. Достижение исполнения первоначальных плановых назначений по налоговым и неналоговым доходам на уровне не менее 100%. 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8. Исполнение расходных обязательств района за </w:t>
            </w:r>
            <w:proofErr w:type="gramStart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proofErr w:type="gramEnd"/>
            <w:r w:rsidRPr="00EA1E8A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финансовый год в размере не менее 90% от бюджетных ассигнований, утвержденных </w:t>
            </w:r>
            <w:r w:rsidRPr="00EA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решением Думы района о бюджете.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9. Погашение в полном объеме долговых обязательств района в соответствии с Графиком погашения − 100%.</w:t>
            </w:r>
          </w:p>
          <w:p w:rsidR="00EA1E8A" w:rsidRPr="00EA1E8A" w:rsidRDefault="00EA1E8A" w:rsidP="00EA1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1E8A">
              <w:rPr>
                <w:rFonts w:ascii="Times New Roman" w:hAnsi="Times New Roman" w:cs="Times New Roman"/>
                <w:sz w:val="28"/>
                <w:szCs w:val="28"/>
              </w:rPr>
              <w:t>10.Снижение количества нарушений бюджетного законодательства, соблюдение финансовой дисциплины, с 1 до 0.</w:t>
            </w:r>
          </w:p>
        </w:tc>
      </w:tr>
    </w:tbl>
    <w:p w:rsidR="00F944EC" w:rsidRPr="00EA1E8A" w:rsidRDefault="00F944EC" w:rsidP="00EA1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944EC" w:rsidRPr="00EA1E8A" w:rsidSect="00E13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A1E8A"/>
    <w:rsid w:val="001762E7"/>
    <w:rsid w:val="004D7B10"/>
    <w:rsid w:val="00E13204"/>
    <w:rsid w:val="00EA1E8A"/>
    <w:rsid w:val="00F9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1E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cp:lastPrinted>2016-11-01T07:04:00Z</cp:lastPrinted>
  <dcterms:created xsi:type="dcterms:W3CDTF">2016-10-26T12:09:00Z</dcterms:created>
  <dcterms:modified xsi:type="dcterms:W3CDTF">2016-11-01T07:14:00Z</dcterms:modified>
</cp:coreProperties>
</file>